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 style="position:absolute;margin-left:78.024002pt;margin-top:111.739944pt;width:445.15pt;height:19.95pt;mso-position-horizontal-relative:page;mso-position-vertical-relative:page;z-index:15728640" coordorigin="1560,2235" coordsize="8903,399" path="m10463,2235l1570,2235,1560,2235,1560,2244,1560,2345,1560,2631,1570,2631,1570,2633,10463,2633,10463,2244,10463,2235xe" filled="true" fillcolor="#0a5f67" stroked="false">
            <v:path arrowok="t"/>
            <v:fill type="solid"/>
            <w10:wrap type="none"/>
          </v:shape>
        </w:pict>
      </w:r>
      <w:r>
        <w:rPr>
          <w:color w:val="13B3C0"/>
        </w:rPr>
        <w:t>6.</w:t>
      </w:r>
      <w:r>
        <w:rPr>
          <w:color w:val="13B3C0"/>
          <w:spacing w:val="40"/>
        </w:rPr>
        <w:t> </w:t>
      </w:r>
      <w:r>
        <w:rPr>
          <w:color w:val="13B3C0"/>
        </w:rPr>
        <w:t>Παραρτήματα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25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Δραστηριότητα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Ονομασία της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Ας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συνεργαστούμε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για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το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πράσινο;</w:t>
            </w:r>
          </w:p>
        </w:tc>
      </w:tr>
      <w:tr>
        <w:trPr>
          <w:trHeight w:val="10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4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Καλυπτόμενο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Δεξιότητες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συνεργασίας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1671" w:hanging="360"/>
              <w:jc w:val="left"/>
              <w:rPr>
                <w:sz w:val="22"/>
              </w:rPr>
            </w:pPr>
            <w:r>
              <w:rPr>
                <w:sz w:val="22"/>
              </w:rPr>
              <w:t>Πράσινες πρωτοβουλίες διαφορετικά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ενδιαφερόμενα μέρη</w:t>
            </w:r>
          </w:p>
        </w:tc>
      </w:tr>
      <w:tr>
        <w:trPr>
          <w:trHeight w:val="411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3"/>
              <w:ind w:left="115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Μαθησιακά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αποτελέσματα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και ικανότητες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που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μπορούν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να</w:t>
            </w:r>
            <w:r>
              <w:rPr>
                <w:b/>
                <w:color w:val="FFFFFF"/>
                <w:spacing w:val="-5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697" w:hanging="360"/>
              <w:jc w:val="left"/>
              <w:rPr>
                <w:sz w:val="22"/>
              </w:rPr>
            </w:pPr>
            <w:r>
              <w:rPr>
                <w:sz w:val="22"/>
              </w:rPr>
              <w:t>Ανάπτυξη αποτελεσματικής επικοινωνίας με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προσομοίωση των διαφόρων ενδιαφερομένων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μερών που εμπλέκονται στις πράσινες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πρωτοβουλίες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0" w:after="0"/>
              <w:ind w:left="835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Τόνωση των δεξιοτήτων επίλυσης προβλημάτων και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συγκρούσεων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37" w:lineRule="auto" w:before="201" w:after="0"/>
              <w:ind w:left="835" w:right="365" w:hanging="360"/>
              <w:jc w:val="both"/>
              <w:rPr>
                <w:sz w:val="22"/>
              </w:rPr>
            </w:pPr>
            <w:r>
              <w:rPr>
                <w:sz w:val="22"/>
              </w:rPr>
              <w:t>Να κατανοήσουν το ρόλο που διαδραματίζουν τα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διάφορα ενδιαφερόμενα μέρη στην επιτυχία ή την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αποτυχία των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πράσινων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πρωτοβουλιών.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205" w:after="0"/>
              <w:ind w:left="835" w:right="556" w:hanging="360"/>
              <w:jc w:val="left"/>
              <w:rPr>
                <w:sz w:val="22"/>
              </w:rPr>
            </w:pPr>
            <w:r>
              <w:rPr>
                <w:sz w:val="22"/>
              </w:rPr>
              <w:t>Ευαισθητοποίηση σχετικά με τις προκλήσεις που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μπορεί να προκύψουν κατά την ανάπτυξη 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εφαρμογή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μιας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πράσινης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πρωτοβουλίας</w:t>
            </w:r>
          </w:p>
        </w:tc>
      </w:tr>
      <w:tr>
        <w:trPr>
          <w:trHeight w:val="5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2 ώρες</w:t>
            </w:r>
          </w:p>
        </w:tc>
      </w:tr>
      <w:tr>
        <w:trPr>
          <w:trHeight w:val="125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Είδος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Μη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τυπική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εκπαίδευση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58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Δραστηριότητα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παιχνιδιού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ρόλων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58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Ανοικτή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συζήτηση</w:t>
            </w:r>
          </w:p>
        </w:tc>
      </w:tr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Πίνακας/διαγράμματα/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σημειωματάριο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στυλό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Φορητός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υπολογιστής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smartphone</w:t>
            </w:r>
          </w:p>
        </w:tc>
      </w:tr>
      <w:tr>
        <w:trPr>
          <w:trHeight w:val="263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Περιβάλλον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μάθησης και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περιγραφή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συντονιστής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ξεκινά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χωρίζοντας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 σε τέσσερις ομάδες. Κάθε ομάδα 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εκπροσωπεί έναν διαφορετικό ενδιαφερόμενο από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σενάριο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πράσινων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πρωτοβουλιών,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όπως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π.χ: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40" w:lineRule="auto" w:before="1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περιβαλλοντική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ΜΚΟ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Εκπρόσωποι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τοπικών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δήμων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Ηλικιωμένοι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ενήλικες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κοινότητα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40" w:lineRule="auto" w:before="1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Τοπικές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επιχειρήσεις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4"/>
        </w:sect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346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40" w:lineRule="auto" w:before="0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θέμα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έχει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τεθεί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είναι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ενίσχυση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κλιματικής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ανθεκτικότητας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αστικών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χώρων".</w:t>
            </w:r>
          </w:p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Οι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διάφορες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ομάδες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έχουν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στη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διάθεσή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λεπτά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για να ερευνήσουν το θέμα και να αναπτύξουν 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επιχειρήματα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ταιριάζουν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ενδιαφερομένων στην οποία έχουν τοποθετηθεί. 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συντονιστής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υπενθυμίσει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ότι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επιχειρήματά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δεν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χρειάζεται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αντικατοπτρίζουν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προσωπικές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απόψεις, αλλά θα πρέπει να αντιπροσωπεύουν τις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απόψεις του συγκεκριμένου ενδιαφερόμενου μέρους.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διευκολυνθεί,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κάθε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παρουσιάσει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εξής: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1" w:after="0"/>
              <w:ind w:left="155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ΜΚΟ: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αναπτύξουν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πρόταση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πώς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κάνουν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πόλη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πιο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ανθεκτική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κλίμα.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εξηγήσουν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γιατί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πρωτοβουλία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είναι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σημαντική.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Στόχος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είναι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παρουσιάσουν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πρωτοβουλία ως απαραίτητη για την πόλη,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που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μπορεί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αποφέρει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οφέλη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όλους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ενδιαφερόμενους.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Εκπρόσωποι των τοπικών δήμων: θα 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αμφισβητήσουν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σημασία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πρωτοβουλίας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θέσουν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ζητήματα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σχέση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προϋπολογισμό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προτεραιότητες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δήμου.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Μπορούν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έχουν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πιο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επιφυλακτική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άποψη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θέμα.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Ηλικιωμένοι ενήλικες από την κοινότητα: 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αυτή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αντιπροσωπεύει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κύρια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ομάδα-στόχο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έργου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επομένως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εξετάσει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οφέλη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μειονεκτήματα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παρουσιαζόμενης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πρωτοβουλίας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άποψη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ηλικιωμένων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ενηλίκων.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Τοπικές επιχειρήσεις: η ομάδα αυτή πρέπει να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εξετάσει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επιπτώσεις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έχει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πρωτοβουλία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στις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επιχειρήσεις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τους.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40" w:lineRule="auto" w:before="1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Ο συντονιστής υπενθυμίζει στους συμμετέχοντες ότι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κάθε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επιχείρημα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είναι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έγκυρο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συζήτηση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ότι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παίζουν ρόλο. Για τη δραστηριότητα αυτή μπορούν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 χρησιμοποιηθούν και άλλα θέματα και ο χρόνος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έρευνα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μπορεί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προσαρμοστεί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δυναμική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ομάδας.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pgSz w:w="11910" w:h="16840"/>
          <w:pgMar w:header="511" w:footer="576" w:top="1660" w:bottom="1020" w:left="1460" w:right="1680"/>
        </w:sect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526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συζήτηση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αρχίζει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ΜΚΟ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μοιράζεται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πρωτοβουλία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της.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Κάθε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να μοιραστεί τουλάχιστον μία φορά την άποψή της.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 να συμμετάσχει, ένας εκπρόσωπος της ομάδας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σηκώσει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τέλος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δείξει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ενδιαφέρον του να συμμετάσχει. Ο συντονιστής 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συντονίσει τη συζήτηση και θα δώσει το λόγο στις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ομάδες.</w:t>
            </w:r>
          </w:p>
          <w:p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Κατά τη διάρκεια της συζήτησης, ο συντονιστής 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επίσης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κρατά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σημειώσεις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επιχειρημάτων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υπέρ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κατά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πράσινης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πρωτοβουλίας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συγκεντρώνει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έναν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κατάλογο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υπέρ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κατά.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επίσης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γίνουν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σημειώσεις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σχετικά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έδωσε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επιχείρημα. Η συζήτηση θα πρέπει να διαρκέσει 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πολύ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 ώρα.</w:t>
            </w:r>
          </w:p>
        </w:tc>
      </w:tr>
      <w:tr>
        <w:trPr>
          <w:trHeight w:val="234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Αξιολόγηση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  <w:p>
            <w:pPr>
              <w:pStyle w:val="TableParagraph"/>
              <w:spacing w:line="291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100"/>
              <w:jc w:val="both"/>
              <w:rPr>
                <w:sz w:val="22"/>
              </w:rPr>
            </w:pPr>
            <w:r>
              <w:rPr>
                <w:sz w:val="22"/>
              </w:rPr>
              <w:t>Μετά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συζήτηση,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κατάλογος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επιχειρημάτων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γνωστοποιείται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Αυτό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βοηθήσει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συγκεντρώσουν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κύρια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συμπεράσματα σχετικά με τα οφέλη και τις προκλήσεις 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υλοποίησης μιας πράσινης πρωτοβουλίας, μαζί με το ρόλο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έχουν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διάφοροι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ενδιαφερόμενοι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ανάγκη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ανάπτυξης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ενός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συνεργατικού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πλαισίου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εργασίας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να</w:t>
            </w:r>
          </w:p>
          <w:p>
            <w:pPr>
              <w:pStyle w:val="TableParagraph"/>
              <w:spacing w:line="272" w:lineRule="exact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εξασφαλιστεί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επιτυχία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πρωτοβουλίας.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Σημειώσεις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συζήτησης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198.7pt;height:15.2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Collaborative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Skills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for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Local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Green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Initiatives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100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1054655</wp:posOffset>
          </wp:positionH>
          <wp:positionV relativeFrom="page">
            <wp:posOffset>528117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l-G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l-G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460"/>
    </w:pPr>
    <w:rPr>
      <w:rFonts w:ascii="Segoe UI" w:hAnsi="Segoe UI" w:eastAsia="Segoe UI" w:cs="Segoe UI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Segoe UI" w:hAnsi="Segoe UI" w:eastAsia="Segoe UI" w:cs="Segoe U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2024-03-14T15:55:41Z</dcterms:created>
  <dcterms:modified xsi:type="dcterms:W3CDTF">2024-03-14T15:55:41Z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2024-03-14T00:00:00Z</vt:filetime>
  </property>
</Properties>
</file>