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8"/>
        </w:rPr>
        <w:t>Δραστηριότητα</w:t>
      </w:r>
      <w:r>
        <w:rPr>
          <w:spacing w:val="4"/>
        </w:rPr>
        <w:t> </w:t>
      </w:r>
      <w:r>
        <w:rPr>
          <w:spacing w:val="-10"/>
        </w:rPr>
        <w:t>2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32" w:after="1"/>
        <w:rPr>
          <w:rFonts w:ascii="Arial Black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8"/>
                <w:sz w:val="22"/>
              </w:rPr>
              <w:t>Ονομασία</w:t>
            </w:r>
            <w:r>
              <w:rPr>
                <w:rFonts w:ascii="Arial Black" w:hAnsi="Arial Black"/>
                <w:color w:val="FFFFFF"/>
                <w:spacing w:val="-7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5"/>
                <w:sz w:val="22"/>
              </w:rPr>
              <w:t>της</w:t>
            </w:r>
          </w:p>
          <w:p>
            <w:pPr>
              <w:pStyle w:val="TableParagraph"/>
              <w:spacing w:before="49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spacing w:val="-9"/>
                <w:sz w:val="22"/>
              </w:rPr>
              <w:t>Αναμέτρηση</w:t>
            </w:r>
            <w:r>
              <w:rPr>
                <w:rFonts w:ascii="Arial Black" w:hAnsi="Arial Black"/>
                <w:spacing w:val="-2"/>
                <w:sz w:val="22"/>
              </w:rPr>
              <w:t> EcoTalk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402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6"/>
                <w:sz w:val="22"/>
              </w:rPr>
              <w:t>Καλυπτόμενο </w:t>
            </w:r>
            <w:r>
              <w:rPr>
                <w:rFonts w:ascii="Arial Black" w:hAnsi="Arial Black"/>
                <w:color w:val="FFFFFF"/>
                <w:spacing w:val="-4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spacing w:line="348" w:lineRule="auto"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Σκέψεις σχετικά με την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αποτελεσματική επικοινωνία για πράσινες πρακτικές</w:t>
            </w:r>
          </w:p>
        </w:tc>
      </w:tr>
      <w:tr>
        <w:trPr>
          <w:trHeight w:val="21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Μαθησιακά αποτελέσματα </w:t>
            </w:r>
            <w:r>
              <w:rPr>
                <w:rFonts w:ascii="Arial Black" w:hAnsi="Arial Black"/>
                <w:color w:val="FFFFFF"/>
                <w:sz w:val="22"/>
              </w:rPr>
              <w:t>και</w:t>
            </w:r>
            <w:r>
              <w:rPr>
                <w:rFonts w:ascii="Arial Black" w:hAnsi="Arial Black"/>
                <w:color w:val="FFFFFF"/>
                <w:spacing w:val="-3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ικανότητες </w:t>
            </w:r>
            <w:r>
              <w:rPr>
                <w:rFonts w:ascii="Arial Black" w:hAnsi="Arial Black"/>
                <w:color w:val="FFFFFF"/>
                <w:spacing w:val="-6"/>
                <w:sz w:val="22"/>
              </w:rPr>
              <w:t>που</w:t>
            </w:r>
            <w:r>
              <w:rPr>
                <w:rFonts w:ascii="Arial Black" w:hAnsi="Arial Black"/>
                <w:color w:val="FFFFFF"/>
                <w:spacing w:val="-17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6"/>
                <w:sz w:val="22"/>
              </w:rPr>
              <w:t>μπορούν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6"/>
                <w:sz w:val="22"/>
              </w:rPr>
              <w:t>να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3" w:lineRule="auto" w:before="29" w:after="0"/>
              <w:ind w:left="835" w:right="22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Αναλογιστείτε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προσωπική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σας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ανάπτυξη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 κατανόηση της πράσινης επικοινωνίας.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202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Εφαρμογή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των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βασικών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αρχών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της</w:t>
            </w:r>
          </w:p>
          <w:p>
            <w:pPr>
              <w:pStyle w:val="TableParagraph"/>
              <w:spacing w:line="348" w:lineRule="auto" w:before="110"/>
              <w:ind w:left="835"/>
              <w:rPr>
                <w:sz w:val="22"/>
              </w:rPr>
            </w:pPr>
            <w:r>
              <w:rPr>
                <w:w w:val="105"/>
                <w:sz w:val="22"/>
              </w:rPr>
              <w:t>αποτελεσματικής πράσινης επικοινωνίας μέσω πρακτικών προκλήσεων.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sz w:val="22"/>
              </w:rPr>
              <w:t>45-60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λεπτά</w:t>
            </w:r>
          </w:p>
        </w:tc>
      </w:tr>
      <w:tr>
        <w:trPr>
          <w:trHeight w:val="72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6" w:lineRule="exac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90"/>
                <w:sz w:val="22"/>
              </w:rPr>
              <w:t>Είδος</w:t>
            </w:r>
            <w:r>
              <w:rPr>
                <w:rFonts w:ascii="Arial Black" w:hAnsi="Arial Black"/>
                <w:color w:val="FFFFFF"/>
                <w:spacing w:val="-7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spacing w:before="34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Παιχνίδι/πρόκληση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επικοινωνίας</w:t>
            </w:r>
          </w:p>
        </w:tc>
      </w:tr>
      <w:tr>
        <w:trPr>
          <w:trHeight w:val="14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4"/>
                <w:sz w:val="22"/>
              </w:rPr>
              <w:t>Απαιτούμενα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 w:right="10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Μικρός</w:t>
            </w:r>
            <w:r>
              <w:rPr>
                <w:w w:val="105"/>
                <w:sz w:val="22"/>
              </w:rPr>
              <w:t> βομβητής</w:t>
            </w:r>
            <w:r>
              <w:rPr>
                <w:w w:val="105"/>
                <w:sz w:val="22"/>
              </w:rPr>
              <w:t> ή</w:t>
            </w:r>
            <w:r>
              <w:rPr>
                <w:w w:val="105"/>
                <w:sz w:val="22"/>
              </w:rPr>
              <w:t> κουδούνι</w:t>
            </w:r>
            <w:r>
              <w:rPr>
                <w:w w:val="105"/>
                <w:sz w:val="22"/>
              </w:rPr>
              <w:t> (μπορείτε</w:t>
            </w:r>
            <w:r>
              <w:rPr>
                <w:w w:val="105"/>
                <w:sz w:val="22"/>
              </w:rPr>
              <w:t> να χρησιμοποιήσετε</w:t>
            </w:r>
            <w:r>
              <w:rPr>
                <w:w w:val="105"/>
                <w:sz w:val="22"/>
              </w:rPr>
              <w:t> έναν</w:t>
            </w:r>
            <w:r>
              <w:rPr>
                <w:w w:val="105"/>
                <w:sz w:val="22"/>
              </w:rPr>
              <w:t> συναγερμό</w:t>
            </w:r>
            <w:r>
              <w:rPr>
                <w:w w:val="105"/>
                <w:sz w:val="22"/>
              </w:rPr>
              <w:t> στο</w:t>
            </w:r>
            <w:r>
              <w:rPr>
                <w:w w:val="105"/>
                <w:sz w:val="22"/>
              </w:rPr>
              <w:t> κινητό</w:t>
            </w:r>
            <w:r>
              <w:rPr>
                <w:w w:val="105"/>
                <w:sz w:val="22"/>
              </w:rPr>
              <w:t> σας </w:t>
            </w:r>
            <w:r>
              <w:rPr>
                <w:spacing w:val="-2"/>
                <w:w w:val="105"/>
                <w:sz w:val="22"/>
              </w:rPr>
              <w:t>τηλέφωνο).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Flipchart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πίνακας.</w:t>
            </w:r>
          </w:p>
          <w:p>
            <w:pPr>
              <w:pStyle w:val="TableParagraph"/>
              <w:spacing w:line="247" w:lineRule="exact" w:before="51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Δείκτης.</w:t>
            </w:r>
          </w:p>
        </w:tc>
      </w:tr>
      <w:tr>
        <w:trPr>
          <w:trHeight w:val="50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537"/>
              <w:jc w:val="both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Περιβάλλον </w:t>
            </w:r>
            <w:r>
              <w:rPr>
                <w:rFonts w:ascii="Arial Black" w:hAnsi="Arial Black"/>
                <w:color w:val="FFFFFF"/>
                <w:spacing w:val="-8"/>
                <w:sz w:val="22"/>
              </w:rPr>
              <w:t>μάθησης</w:t>
            </w:r>
            <w:r>
              <w:rPr>
                <w:rFonts w:ascii="Arial Black" w:hAnsi="Arial Black"/>
                <w:color w:val="FFFFFF"/>
                <w:spacing w:val="-11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8"/>
                <w:sz w:val="22"/>
              </w:rPr>
              <w:t>και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περιγραφή</w:t>
            </w:r>
          </w:p>
          <w:p>
            <w:pPr>
              <w:pStyle w:val="TableParagraph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</w:tabs>
              <w:spacing w:line="240" w:lineRule="auto" w:before="32" w:after="0"/>
              <w:ind w:left="833" w:right="0" w:hanging="358"/>
              <w:jc w:val="both"/>
              <w:rPr>
                <w:sz w:val="22"/>
              </w:rPr>
            </w:pPr>
            <w:r>
              <w:rPr>
                <w:sz w:val="22"/>
              </w:rPr>
              <w:t>Χωρίστε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δύο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ομάδες.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288" w:lineRule="auto" w:before="5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Εξηγήστε</w:t>
            </w:r>
            <w:r>
              <w:rPr>
                <w:w w:val="105"/>
                <w:sz w:val="22"/>
              </w:rPr>
              <w:t> ότι</w:t>
            </w:r>
            <w:r>
              <w:rPr>
                <w:w w:val="105"/>
                <w:sz w:val="22"/>
              </w:rPr>
              <w:t> κάθε</w:t>
            </w:r>
            <w:r>
              <w:rPr>
                <w:w w:val="105"/>
                <w:sz w:val="22"/>
              </w:rPr>
              <w:t> ομάδα</w:t>
            </w:r>
            <w:r>
              <w:rPr>
                <w:w w:val="105"/>
                <w:sz w:val="22"/>
              </w:rPr>
              <w:t> θα</w:t>
            </w:r>
            <w:r>
              <w:rPr>
                <w:w w:val="105"/>
                <w:sz w:val="22"/>
              </w:rPr>
              <w:t> συμμετέχει</w:t>
            </w:r>
            <w:r>
              <w:rPr>
                <w:w w:val="105"/>
                <w:sz w:val="22"/>
              </w:rPr>
              <w:t> εκ περιτροπής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στο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"EcoTalk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Showdown"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Θα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υπάρξουν 3 γύροι.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288" w:lineRule="auto" w:before="3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Γύρος</w:t>
            </w:r>
            <w:r>
              <w:rPr>
                <w:w w:val="105"/>
                <w:sz w:val="22"/>
              </w:rPr>
              <w:t> 1:</w:t>
            </w:r>
            <w:r>
              <w:rPr>
                <w:w w:val="105"/>
                <w:sz w:val="22"/>
              </w:rPr>
              <w:t> Σε</w:t>
            </w:r>
            <w:r>
              <w:rPr>
                <w:w w:val="105"/>
                <w:sz w:val="22"/>
              </w:rPr>
              <w:t> αυτόν</w:t>
            </w:r>
            <w:r>
              <w:rPr>
                <w:w w:val="105"/>
                <w:sz w:val="22"/>
              </w:rPr>
              <w:t> τον</w:t>
            </w:r>
            <w:r>
              <w:rPr>
                <w:w w:val="105"/>
                <w:sz w:val="22"/>
              </w:rPr>
              <w:t> γύρο,</w:t>
            </w:r>
            <w:r>
              <w:rPr>
                <w:w w:val="105"/>
                <w:sz w:val="22"/>
              </w:rPr>
              <w:t> οι</w:t>
            </w:r>
            <w:r>
              <w:rPr>
                <w:w w:val="105"/>
                <w:sz w:val="22"/>
              </w:rPr>
              <w:t> συμμετέχοντες έχουν</w:t>
            </w:r>
            <w:r>
              <w:rPr>
                <w:w w:val="105"/>
                <w:sz w:val="22"/>
              </w:rPr>
              <w:t> 5</w:t>
            </w:r>
            <w:r>
              <w:rPr>
                <w:w w:val="105"/>
                <w:sz w:val="22"/>
              </w:rPr>
              <w:t> λεπτά</w:t>
            </w:r>
            <w:r>
              <w:rPr>
                <w:w w:val="105"/>
                <w:sz w:val="22"/>
              </w:rPr>
              <w:t> για</w:t>
            </w:r>
            <w:r>
              <w:rPr>
                <w:w w:val="105"/>
                <w:sz w:val="22"/>
              </w:rPr>
              <w:t> να</w:t>
            </w:r>
            <w:r>
              <w:rPr>
                <w:w w:val="105"/>
                <w:sz w:val="22"/>
              </w:rPr>
              <w:t> επικοινωνήσουν</w:t>
            </w:r>
            <w:r>
              <w:rPr>
                <w:w w:val="105"/>
                <w:sz w:val="22"/>
              </w:rPr>
              <w:t> όσο</w:t>
            </w:r>
            <w:r>
              <w:rPr>
                <w:w w:val="105"/>
                <w:sz w:val="22"/>
              </w:rPr>
              <w:t> το δυνατόν</w:t>
            </w:r>
            <w:r>
              <w:rPr>
                <w:w w:val="105"/>
                <w:sz w:val="22"/>
              </w:rPr>
              <w:t> περισσότερα</w:t>
            </w:r>
            <w:r>
              <w:rPr>
                <w:w w:val="105"/>
                <w:sz w:val="22"/>
              </w:rPr>
              <w:t> πράσινα θέματα</w:t>
            </w:r>
            <w:r>
              <w:rPr>
                <w:w w:val="105"/>
                <w:sz w:val="22"/>
              </w:rPr>
              <w:t> στα</w:t>
            </w:r>
            <w:r>
              <w:rPr>
                <w:w w:val="105"/>
                <w:sz w:val="22"/>
              </w:rPr>
              <w:t> μέλη της</w:t>
            </w:r>
            <w:r>
              <w:rPr>
                <w:w w:val="105"/>
                <w:sz w:val="22"/>
              </w:rPr>
              <w:t> ομάδας</w:t>
            </w:r>
            <w:r>
              <w:rPr>
                <w:w w:val="105"/>
                <w:sz w:val="22"/>
              </w:rPr>
              <w:t> τους.</w:t>
            </w:r>
            <w:r>
              <w:rPr>
                <w:w w:val="105"/>
                <w:sz w:val="22"/>
              </w:rPr>
              <w:t> Θα</w:t>
            </w:r>
            <w:r>
              <w:rPr>
                <w:w w:val="105"/>
                <w:sz w:val="22"/>
              </w:rPr>
              <w:t> πρέπει</w:t>
            </w:r>
            <w:r>
              <w:rPr>
                <w:w w:val="105"/>
                <w:sz w:val="22"/>
              </w:rPr>
              <w:t> να</w:t>
            </w:r>
            <w:r>
              <w:rPr>
                <w:w w:val="105"/>
                <w:sz w:val="22"/>
              </w:rPr>
              <w:t> χρησιμοποιούν απλές</w:t>
            </w:r>
            <w:r>
              <w:rPr>
                <w:w w:val="105"/>
                <w:sz w:val="22"/>
              </w:rPr>
              <w:t> έννοιες.</w:t>
            </w:r>
            <w:r>
              <w:rPr>
                <w:w w:val="105"/>
                <w:sz w:val="22"/>
              </w:rPr>
              <w:t> Το</w:t>
            </w:r>
            <w:r>
              <w:rPr>
                <w:w w:val="105"/>
                <w:sz w:val="22"/>
              </w:rPr>
              <w:t> τέλος</w:t>
            </w:r>
            <w:r>
              <w:rPr>
                <w:w w:val="105"/>
                <w:sz w:val="22"/>
              </w:rPr>
              <w:t> κάθε</w:t>
            </w:r>
            <w:r>
              <w:rPr>
                <w:w w:val="105"/>
                <w:sz w:val="22"/>
              </w:rPr>
              <w:t> γύρου</w:t>
            </w:r>
            <w:r>
              <w:rPr>
                <w:w w:val="105"/>
                <w:sz w:val="22"/>
              </w:rPr>
              <w:t> θα σηματοδοτείται με το βομβητή.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5" w:val="left" w:leader="none"/>
              </w:tabs>
              <w:spacing w:line="288" w:lineRule="auto" w:before="6" w:after="0"/>
              <w:ind w:left="835" w:right="99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Γύρος</w:t>
            </w:r>
            <w:r>
              <w:rPr>
                <w:w w:val="105"/>
                <w:sz w:val="22"/>
              </w:rPr>
              <w:t> 2:</w:t>
            </w:r>
            <w:r>
              <w:rPr>
                <w:w w:val="105"/>
                <w:sz w:val="22"/>
              </w:rPr>
              <w:t> Σε</w:t>
            </w:r>
            <w:r>
              <w:rPr>
                <w:w w:val="105"/>
                <w:sz w:val="22"/>
              </w:rPr>
              <w:t> αυτόν</w:t>
            </w:r>
            <w:r>
              <w:rPr>
                <w:w w:val="105"/>
                <w:sz w:val="22"/>
              </w:rPr>
              <w:t> τον</w:t>
            </w:r>
            <w:r>
              <w:rPr>
                <w:w w:val="105"/>
                <w:sz w:val="22"/>
              </w:rPr>
              <w:t> γύρο,</w:t>
            </w:r>
            <w:r>
              <w:rPr>
                <w:w w:val="105"/>
                <w:sz w:val="22"/>
              </w:rPr>
              <w:t> οι</w:t>
            </w:r>
            <w:r>
              <w:rPr>
                <w:w w:val="105"/>
                <w:sz w:val="22"/>
              </w:rPr>
              <w:t> συμμετέχοντες υποδύονται</w:t>
            </w:r>
            <w:r>
              <w:rPr>
                <w:w w:val="105"/>
                <w:sz w:val="22"/>
              </w:rPr>
              <w:t> μια</w:t>
            </w:r>
            <w:r>
              <w:rPr>
                <w:w w:val="105"/>
                <w:sz w:val="22"/>
              </w:rPr>
              <w:t> πράσινη</w:t>
            </w:r>
            <w:r>
              <w:rPr>
                <w:w w:val="105"/>
                <w:sz w:val="22"/>
              </w:rPr>
              <w:t> πρακτική</w:t>
            </w:r>
            <w:r>
              <w:rPr>
                <w:w w:val="105"/>
                <w:sz w:val="22"/>
              </w:rPr>
              <w:t> χωρίς</w:t>
            </w:r>
            <w:r>
              <w:rPr>
                <w:w w:val="105"/>
                <w:sz w:val="22"/>
              </w:rPr>
              <w:t> να χρησιμοποιούν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λέξεις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μέλη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ομάδας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 πρέπει</w:t>
            </w:r>
            <w:r>
              <w:rPr>
                <w:w w:val="105"/>
                <w:sz w:val="22"/>
              </w:rPr>
              <w:t> να</w:t>
            </w:r>
            <w:r>
              <w:rPr>
                <w:w w:val="105"/>
                <w:sz w:val="22"/>
              </w:rPr>
              <w:t> μαντέψουν</w:t>
            </w:r>
            <w:r>
              <w:rPr>
                <w:w w:val="105"/>
                <w:sz w:val="22"/>
              </w:rPr>
              <w:t> τι</w:t>
            </w:r>
            <w:r>
              <w:rPr>
                <w:w w:val="105"/>
                <w:sz w:val="22"/>
              </w:rPr>
              <w:t> είναι.</w:t>
            </w:r>
            <w:r>
              <w:rPr>
                <w:w w:val="105"/>
                <w:sz w:val="22"/>
              </w:rPr>
              <w:t> Οι</w:t>
            </w:r>
            <w:r>
              <w:rPr>
                <w:w w:val="105"/>
                <w:sz w:val="22"/>
              </w:rPr>
              <w:t> συμμετέχοντες εναλλάσσονται σε κάθε γύρο.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</w:tabs>
              <w:spacing w:line="240" w:lineRule="auto" w:before="3" w:after="0"/>
              <w:ind w:left="833" w:right="0" w:hanging="358"/>
              <w:jc w:val="both"/>
              <w:rPr>
                <w:sz w:val="22"/>
              </w:rPr>
            </w:pPr>
            <w:r>
              <w:rPr>
                <w:sz w:val="22"/>
              </w:rPr>
              <w:t>Γύρος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αυτόν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τον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γύρο,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συμμετέχοντες</w:t>
            </w:r>
          </w:p>
          <w:p>
            <w:pPr>
              <w:pStyle w:val="TableParagraph"/>
              <w:spacing w:line="247" w:lineRule="exact" w:before="51"/>
              <w:ind w:left="83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ζωγραφίζουν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μια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πράσινη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έννοια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ή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πρακτική</w:t>
            </w:r>
            <w:r>
              <w:rPr>
                <w:spacing w:val="9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στο</w:t>
            </w: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spacing w:before="92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252749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2000" w:bottom="500" w:left="1460" w:right="1340"/>
          <w:pgNumType w:start="13"/>
        </w:sectPr>
      </w:pPr>
    </w:p>
    <w:p>
      <w:pPr>
        <w:pStyle w:val="BodyText"/>
        <w:spacing w:before="12"/>
        <w:rPr>
          <w:rFonts w:ascii="Arial Black"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7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835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flipchart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ή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στον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πίνακα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μέλη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της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ομάδας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 πρέπει</w:t>
            </w:r>
            <w:r>
              <w:rPr>
                <w:w w:val="105"/>
                <w:sz w:val="22"/>
              </w:rPr>
              <w:t> να</w:t>
            </w:r>
            <w:r>
              <w:rPr>
                <w:w w:val="105"/>
                <w:sz w:val="22"/>
              </w:rPr>
              <w:t> μαντέψουν</w:t>
            </w:r>
            <w:r>
              <w:rPr>
                <w:w w:val="105"/>
                <w:sz w:val="22"/>
              </w:rPr>
              <w:t> τι</w:t>
            </w:r>
            <w:r>
              <w:rPr>
                <w:w w:val="105"/>
                <w:sz w:val="22"/>
              </w:rPr>
              <w:t> είναι.</w:t>
            </w:r>
            <w:r>
              <w:rPr>
                <w:w w:val="105"/>
                <w:sz w:val="22"/>
              </w:rPr>
              <w:t> Σηματοδοτήστε</w:t>
            </w:r>
            <w:r>
              <w:rPr>
                <w:w w:val="105"/>
                <w:sz w:val="22"/>
              </w:rPr>
              <w:t> το τέλος κάθε ζωγραφικής με το βομβητή.</w:t>
            </w:r>
          </w:p>
          <w:p>
            <w:pPr>
              <w:pStyle w:val="TableParagraph"/>
              <w:spacing w:line="288" w:lineRule="auto" w:before="3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6.</w:t>
            </w:r>
            <w:r>
              <w:rPr>
                <w:w w:val="105"/>
                <w:sz w:val="22"/>
              </w:rPr>
              <w:t> Η</w:t>
            </w:r>
            <w:r>
              <w:rPr>
                <w:w w:val="105"/>
                <w:sz w:val="22"/>
              </w:rPr>
              <w:t> ομάδα</w:t>
            </w:r>
            <w:r>
              <w:rPr>
                <w:w w:val="105"/>
                <w:sz w:val="22"/>
              </w:rPr>
              <w:t> που</w:t>
            </w:r>
            <w:r>
              <w:rPr>
                <w:w w:val="105"/>
                <w:sz w:val="22"/>
              </w:rPr>
              <w:t> έχει</w:t>
            </w:r>
            <w:r>
              <w:rPr>
                <w:w w:val="105"/>
                <w:sz w:val="22"/>
              </w:rPr>
              <w:t> μαντέψει</w:t>
            </w:r>
            <w:r>
              <w:rPr>
                <w:w w:val="105"/>
                <w:sz w:val="22"/>
              </w:rPr>
              <w:t> τις</w:t>
            </w:r>
            <w:r>
              <w:rPr>
                <w:w w:val="105"/>
                <w:sz w:val="22"/>
              </w:rPr>
              <w:t> περισσότερες πρακτικές κερδίζει.</w:t>
            </w:r>
          </w:p>
        </w:tc>
      </w:tr>
      <w:tr>
        <w:trPr>
          <w:trHeight w:val="38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6" w:lineRule="exac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Αξιολόγηση</w:t>
            </w:r>
          </w:p>
          <w:p>
            <w:pPr>
              <w:pStyle w:val="TableParagraph"/>
              <w:spacing w:before="47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δραστηριότητας</w:t>
            </w:r>
          </w:p>
          <w:p>
            <w:pPr>
              <w:pStyle w:val="TableParagraph"/>
              <w:spacing w:before="5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120"/>
                <w:sz w:val="22"/>
              </w:rPr>
              <w:t>/</w:t>
            </w:r>
            <w:r>
              <w:rPr>
                <w:rFonts w:ascii="Arial Black" w:hAnsi="Arial Black"/>
                <w:color w:val="FFFFFF"/>
                <w:spacing w:val="-13"/>
                <w:w w:val="12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spacing w:line="290" w:lineRule="auto" w:before="32"/>
              <w:ind w:left="114" w:right="10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Αυτή</w:t>
            </w:r>
            <w:r>
              <w:rPr>
                <w:w w:val="105"/>
                <w:sz w:val="22"/>
              </w:rPr>
              <w:t> η</w:t>
            </w:r>
            <w:r>
              <w:rPr>
                <w:w w:val="105"/>
                <w:sz w:val="22"/>
              </w:rPr>
              <w:t> δραστηριότητα</w:t>
            </w:r>
            <w:r>
              <w:rPr>
                <w:w w:val="105"/>
                <w:sz w:val="22"/>
              </w:rPr>
              <w:t> εισάγει</w:t>
            </w:r>
            <w:r>
              <w:rPr>
                <w:w w:val="105"/>
                <w:sz w:val="22"/>
              </w:rPr>
              <w:t> ένα</w:t>
            </w:r>
            <w:r>
              <w:rPr>
                <w:w w:val="105"/>
                <w:sz w:val="22"/>
              </w:rPr>
              <w:t> παιγνιώδες</w:t>
            </w:r>
            <w:r>
              <w:rPr>
                <w:w w:val="105"/>
                <w:sz w:val="22"/>
              </w:rPr>
              <w:t> και ανταγωνιστικό</w:t>
            </w:r>
            <w:r>
              <w:rPr>
                <w:w w:val="105"/>
                <w:sz w:val="22"/>
              </w:rPr>
              <w:t> στοιχείο</w:t>
            </w:r>
            <w:r>
              <w:rPr>
                <w:w w:val="105"/>
                <w:sz w:val="22"/>
              </w:rPr>
              <w:t> στη</w:t>
            </w:r>
            <w:r>
              <w:rPr>
                <w:w w:val="105"/>
                <w:sz w:val="22"/>
              </w:rPr>
              <w:t> διαδικασία</w:t>
            </w:r>
            <w:r>
              <w:rPr>
                <w:w w:val="105"/>
                <w:sz w:val="22"/>
              </w:rPr>
              <w:t> μάθησης, καθιστώντας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πιο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ενδιαφέρουσα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αξέχαστη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 συμμετέχοντες,</w:t>
            </w:r>
            <w:r>
              <w:rPr>
                <w:w w:val="105"/>
                <w:sz w:val="22"/>
              </w:rPr>
              <w:t> ενώ</w:t>
            </w:r>
            <w:r>
              <w:rPr>
                <w:w w:val="105"/>
                <w:sz w:val="22"/>
              </w:rPr>
              <w:t> παράλληλα</w:t>
            </w:r>
            <w:r>
              <w:rPr>
                <w:w w:val="105"/>
                <w:sz w:val="22"/>
              </w:rPr>
              <w:t> ενισχύει</w:t>
            </w:r>
            <w:r>
              <w:rPr>
                <w:w w:val="105"/>
                <w:sz w:val="22"/>
              </w:rPr>
              <w:t> τις</w:t>
            </w:r>
            <w:r>
              <w:rPr>
                <w:w w:val="105"/>
                <w:sz w:val="22"/>
              </w:rPr>
              <w:t> αρχές</w:t>
            </w:r>
            <w:r>
              <w:rPr>
                <w:w w:val="105"/>
                <w:sz w:val="22"/>
              </w:rPr>
              <w:t> της αποτελεσματικής πράσινης επικοινωνίας.</w:t>
            </w:r>
          </w:p>
          <w:p>
            <w:pPr>
              <w:pStyle w:val="TableParagraph"/>
              <w:spacing w:line="288" w:lineRule="auto"/>
              <w:ind w:left="114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Πραγματοποιήστε έναν τελικό προβληματισμό σχετικά με το</w:t>
            </w:r>
            <w:r>
              <w:rPr>
                <w:w w:val="105"/>
                <w:sz w:val="22"/>
              </w:rPr>
              <w:t> πώς οι</w:t>
            </w:r>
            <w:r>
              <w:rPr>
                <w:w w:val="105"/>
                <w:sz w:val="22"/>
              </w:rPr>
              <w:t> συμμετέχοντες</w:t>
            </w:r>
            <w:r>
              <w:rPr>
                <w:w w:val="105"/>
                <w:sz w:val="22"/>
              </w:rPr>
              <w:t> εφάρμοσαν</w:t>
            </w:r>
            <w:r>
              <w:rPr>
                <w:w w:val="105"/>
                <w:sz w:val="22"/>
              </w:rPr>
              <w:t> και βελτίωσαν</w:t>
            </w:r>
            <w:r>
              <w:rPr>
                <w:w w:val="105"/>
                <w:sz w:val="22"/>
              </w:rPr>
              <w:t> την κατανόησή τους για την αποτελεσματική επικοινωνία για πράσινες</w:t>
            </w:r>
            <w:r>
              <w:rPr>
                <w:w w:val="105"/>
                <w:sz w:val="22"/>
              </w:rPr>
              <w:t> πρακτικές</w:t>
            </w:r>
            <w:r>
              <w:rPr>
                <w:w w:val="105"/>
                <w:sz w:val="22"/>
              </w:rPr>
              <w:t> κατά</w:t>
            </w:r>
            <w:r>
              <w:rPr>
                <w:w w:val="105"/>
                <w:sz w:val="22"/>
              </w:rPr>
              <w:t> τη</w:t>
            </w:r>
            <w:r>
              <w:rPr>
                <w:w w:val="105"/>
                <w:sz w:val="22"/>
              </w:rPr>
              <w:t> διάρκεια</w:t>
            </w:r>
            <w:r>
              <w:rPr>
                <w:w w:val="105"/>
                <w:sz w:val="22"/>
              </w:rPr>
              <w:t> του</w:t>
            </w:r>
            <w:r>
              <w:rPr>
                <w:w w:val="105"/>
                <w:sz w:val="22"/>
              </w:rPr>
              <w:t> EcoTalk Showdown.</w:t>
            </w:r>
            <w:r>
              <w:rPr>
                <w:w w:val="105"/>
                <w:sz w:val="22"/>
              </w:rPr>
              <w:t> Ενθαρρύνετε</w:t>
            </w:r>
            <w:r>
              <w:rPr>
                <w:w w:val="105"/>
                <w:sz w:val="22"/>
              </w:rPr>
              <w:t> τους</w:t>
            </w:r>
            <w:r>
              <w:rPr>
                <w:w w:val="105"/>
                <w:sz w:val="22"/>
              </w:rPr>
              <w:t> συμμετέχοντες</w:t>
            </w:r>
            <w:r>
              <w:rPr>
                <w:w w:val="105"/>
                <w:sz w:val="22"/>
              </w:rPr>
              <w:t> να μοιραστούν τις γνώσεις τους από τις προκλήσεις και να συζητήσουν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για</w:t>
            </w:r>
            <w:r>
              <w:rPr>
                <w:spacing w:val="4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</w:t>
            </w:r>
            <w:r>
              <w:rPr>
                <w:spacing w:val="4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πώς</w:t>
            </w:r>
            <w:r>
              <w:rPr>
                <w:spacing w:val="4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θα</w:t>
            </w:r>
            <w:r>
              <w:rPr>
                <w:spacing w:val="4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μπορούσαν</w:t>
            </w:r>
            <w:r>
              <w:rPr>
                <w:spacing w:val="4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4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εφαρμόσουν</w:t>
            </w:r>
          </w:p>
          <w:p>
            <w:pPr>
              <w:pStyle w:val="TableParagraph"/>
              <w:spacing w:line="247" w:lineRule="exact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αυτές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στρατηγικές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πραγματικές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καταστάσεις.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200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24218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4218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095B60"/>
                              <w:w w:val="105"/>
                            </w:rPr>
                            <w:t>Communication</w:t>
                          </w:r>
                          <w:r>
                            <w:rPr>
                              <w:color w:val="095B60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095B60"/>
                              <w:spacing w:val="4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Green</w:t>
                          </w:r>
                          <w:r>
                            <w:rPr>
                              <w:color w:val="095B60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Advocacy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76.55pt;height:15.6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095B60"/>
                        <w:w w:val="105"/>
                      </w:rPr>
                      <w:t>Communication</w:t>
                    </w:r>
                    <w:r>
                      <w:rPr>
                        <w:color w:val="095B60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and</w:t>
                    </w:r>
                    <w:r>
                      <w:rPr>
                        <w:color w:val="095B60"/>
                        <w:spacing w:val="45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Green</w:t>
                    </w:r>
                    <w:r>
                      <w:rPr>
                        <w:color w:val="095B60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Advocacy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13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242185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4218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095B60"/>
                              <w:w w:val="105"/>
                            </w:rPr>
                            <w:t>Communication</w:t>
                          </w:r>
                          <w:r>
                            <w:rPr>
                              <w:color w:val="095B60"/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095B60"/>
                              <w:spacing w:val="45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Green</w:t>
                          </w:r>
                          <w:r>
                            <w:rPr>
                              <w:color w:val="095B60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Advocacy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76.55pt;height:15.6pt;mso-position-horizontal-relative:page;mso-position-vertical-relative:page;z-index:-158008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095B60"/>
                        <w:w w:val="105"/>
                      </w:rPr>
                      <w:t>Communication</w:t>
                    </w:r>
                    <w:r>
                      <w:rPr>
                        <w:color w:val="095B60"/>
                        <w:spacing w:val="-5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and</w:t>
                    </w:r>
                    <w:r>
                      <w:rPr>
                        <w:color w:val="095B60"/>
                        <w:spacing w:val="45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Green</w:t>
                    </w:r>
                    <w:r>
                      <w:rPr>
                        <w:color w:val="095B60"/>
                        <w:spacing w:val="-6"/>
                        <w:w w:val="105"/>
                      </w:rPr>
                      <w:t> 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Advocacy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032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14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100"/>
    </w:pPr>
    <w:rPr>
      <w:rFonts w:ascii="Arial Black" w:hAnsi="Arial Black" w:eastAsia="Arial Black" w:cs="Arial Black"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2024-03-14T15:09:09Z</dcterms:created>
  <dcterms:modified xsi:type="dcterms:W3CDTF">2024-03-14T15:09:09Z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2024-03-14T00:00:00Z</vt:filetime>
  </property>
  <property fmtid="{D5CDD505-2E9C-101B-9397-08002B2CF9AE}" pid="3" name="Producer">
    <vt:lpwstr>iLovePDF</vt:lpwstr>
  </property>
</Properties>
</file>